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19.08.2019 в иске отказано. Девятый арбитражный апелляционный суд постановлением от 13.11.2019 и Арбитражный суд Московского округа постановлением от 05.03.2020, решение от 19.08.2019 оставили без изменения. В кассационной жалобе общество «ЯрДевелопмент» просит об отмене судебных актов, ссылаясь на противоречие выводов о наличии в его и арбитражного управляющего действиях умысла материалам дела и неосновательное освобождение ответчика от выплаты страхового возмещения.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возникновению заявленных убытков способствовало поведение истца, исследованное и охарактеризованное в рамках рассмотренного судом общей юрисдикции дела, установленными в котором обстоятельствами суды в рассматриваемом деле руководствовались в силу статьи 69 Арбитражного процессуального кодекса Российской Федерации. В целях взыскания убытков со страховщика к указанным обстоятельствам правомерно применены статьи 963 , 10 Гражданского кодекса Российской Федерации в качестве последствия недобросовестного поведения выгодоприобретателя (истца), влекущего освобождение страховщика от выплаты страхового возмещения.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«ЯрДевелопмент»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"ЯрДевелопмент" (подробнее) Ответчики: ООО "Страховая компания "Арсеналъ" (подробнее) Судьи дела: Ксенофонтова Н.А.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