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10.09.2019, оставленным без изменения постановлением Одиннадцатого арбитражного апелляционного суда от 02.12.2019, взыскано 182 762 рубля 39 копеек страхового возмещения. Арбитражный суд Поволжского округа постановлением от 03.03.2020 решение от 10.09.2019 и постановление Одиннадцатого арбитражного апелляционного суда от 02.12.2019 оставил без изменения. В кассационной жалобе акционерное общество «Страховая компания «Армеец» просит об отмене судебных актов, ссылаясь на определение стоимости ремонта без учета справочников РСА.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Разногласия сторон в отношении стоимости восстановительного ремонта разрешены посредством проведенной экспертизы, заключение которой оценено как соответствующее требованиям законодательства об обязательном страховании гражданской ответственности владельцев транспортных средств. Вопросы оценки доказательств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«Страховая компания «Армеец»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"Партнер", г.Казань (подробнее) Ответчики: АО "Страховая компания "Армеец", г.Казань (подробнее) Иные лица: Одиннадцатый арбитражный апелляционный суд, г.Самара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