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05.06.2019, оставленным без изменения постановлением Девятого арбитражного апелляционного суда от 11.09.2019 и постановлением Арбитражного суда Московского округа от 28.01.2020, взыскано 252 347 рублей неустойки. В кассационной жалобе предприятие просит об отмене судебных актов, ссылаясь на незаконное уменьшение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обстоятельств, составляющих условия для применения статьи 333 Гражданского кодекса Российской Федерации, отнесено к компетенции нижестоящих судов, вмешательство в которую не попадает под основания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города Москвы «Мосгортранс»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ГУП города Москвы "Мосгортранс" (подробнее) Ответчики: АО "Межрегиональное объединение "Техинком" (подробнее) Судьи дела: Ксенофонтова Н.А. (судья)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