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Ярославской области от 07.05.2019, оставленным без изменения постановлением Второго арбитражного апелляционного суда от 21.08.2019, иск удовлетворен за счет с общества «7-Я». Арбитражный суд Волго-Вятского округа постановлением от 31.01.2020 решение от 07.05.2019 и постановление Второго арбитражного апелляционного суда от 21.08.2019 оставил без изменения. В кассационной жалобе общество «7-Я» просит об отмене судебных актов вследствие неправомерного истребования апелляционным судом дополнительного доказательства.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силу статьи 268 Арбитражного процессуального кодекса Российской Федерации апелляционный суд по имеющимся в деле и дополнительно представленным доказательства повторно рассматривает дело. Таким образом, получение доказательства на стадии апелляционного производства не влечет пересмотра принятого апелляционным судом судебного акта.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«7-Я»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"Группа Ренессанс Страхование" (подробнее) Ответчики: Департамент городского хозяйства мэрии города Ярославля (подробнее) ООО "7-я" (подробнее) Иные лица: ОБ ДПС ГИБДД УМВД России (подробнее) Управление Росреестра по Ярославской области (подробнее) ФГБУ Филиал "ФКП Росреестра" по Ярославской области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