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06.05.2019, оставленным без изменения постановлением Семнадцатого арбитражного апелляционного суда от 19.09.2019 и постановлением Арбитражного суда Уральского округа от 29.01.2020, в иске отказано. В кассационной жалобе общество просит отменить судебные акты, ссылаясь на несовершение предприятием до закрытия счета действий по возврату перечисленных за товар денежных средств.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Исходя из представленных доказательств, суды установили, что предприятие исполнило обязанность по оплате полученного товара и не установили основания для обязания его произвести повторную оплату.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«ТД Рунатко»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"ТД РУНАТКО" (подробнее) Ответчики: ФГУП "Комбинат "Электрохимприбор"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