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29.08.2019 иск удовлетворен. Девятый арбитражный апелляционный суд постановлением от 24.10.2019 отменил решение от 29.08.2019 и отказал в удовлетворении иска. Арбитражный суд Московского округа постановлением от 27.01.2020 отменил постановление Девятого арбитражного апелляционного суда от 24.10.2019 и оставил в силе решение от 29.08.2019. В кассационной жалобе общество «ВЭБ-лизинг» просит об отмене решения и постановления окружного суда вследствие нарушения пределов полномочий окружным судом, несоответствия выводов судов обстоятельствам дела и отсутствия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возникновения убытков установлены судом первой инстанции по результату исследования правоотношений сторон и представленных доказательств с применением статей 15 , 393 , 401 , 469 , 470 , 475 Гражданского кодекса Российской Федерации. У суда апелляционной инстанции отсутствовали полномочия для иной оценки тех же обстоятельств, поэтому его постановление отменено окружным судом в пределах предоставленных статьями 286 , 287 Арбитражного процессуального кодекса Российской Федерации полномочий.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«ВЭБ-лизинг»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"СГ-ТРАНС" (подробнее) Ответчики: АО "ВЭБ-лизинг"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