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20.05.2019, оставленным без изменения постановлением Третьего арбитражного апелляционного суда от 14.10.2019 и постановлением Арбитражного суда Восточно-Сибирского округа от 28.01.2020, иск удовлетворен. В кассационной жалобе общество «СтройКонсалтинг» просит о пересмотре судебных актов, ссылаясь на принятие ненадлежащих доказательств при неосновательном отказе в назначении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«СтройКонсалтинг»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"Прогресс" (подробнее) Ответчики: ООО "Стройконсалтинг"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