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31.05.2019, оставленным без изменения постановлением Девятого арбитражного апелляционного суда от 30.09.2019 и постановлением Арбитражного суда Московского округа от 03.03.2020, в удовлетворении первоначального иска отказано, встречный иск удовлетворен. В кассационной жалобе общество «Литпромабразив» просит о пересмотре судебных актов, ссылаясь на игнорирование злоупотребления ответчиком права и неприменения его последствий, неправомерный вывод о контрафактности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поставка несогласованного договором от 27.07.2018 № 1815 товара признана обществом «Литпромабразив». Невозвращение товара не означает его приемки и отсутствие претензий к качеству товара, учитывая обоснование их проведенными исследованиями и следственными действиями. Таким образом, судами правильно применены последствия поставки товара ненадлежащего качества, предусмотренные статьями 475 , 476 Гражданского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«Литпромабразив»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"ЛИТПРОМАБРАЗИВ" (подробнее) Ответчики: ООО "Глобал Логистик"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