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21.05.2019, оставленным без изменения постановлением Девятого арбитражного апелляционного суда от 30.09.2019, исковые требования удовлетворены в заявленном объеме. Арбитражный суд Московского округа постановлением от 31.01.2020 решение от 21.05.2019 и постановление Девятого арбитражного апелляционного суда от 30.09.2019 оставил без изменения. В кассационной жалобе общество «ВСК» просит об отмене судебных актов как незаконных, ссылаясь на возникновение спорных убытков за пределами действия договоров страхования.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судебным актом в деле о банкротстве истца установлен период исполнения арбитражным управляющим обязанностей, в котором совершены незаконные и повлекшие убытки действия, совпадающий с периодами последовательного действия договоров страхования ответственности управляющего, поэтому судебные акты соответствуют договорам и статье 24.1 Федерального закона от 26.10.2002 № 127-ФЗ «О несостоятельности (банкротстве)».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страхового акционерного общества «ВСК»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"Жилищная строительная компания" (подробнее) ООО "Жилстройком" в лице к/у Киселёва О.А. (подробнее) Ответчики: АО Страховое "ВСК"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