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26.06.2019, оставленным без изменения постановлением Девятого арбитражного апелляционного суда от 07.10.2019 и постановлением Арбитражного суда Московского округа от 27.01.2020, в удовлетворении иска отказано. В кассационной жалобе институт просит о пересмотре судебных актов в связи с неполным выяснением обстоятельств дела и принятием недопустимых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обстоятельства, составляющих условия для взыскания убытков, отнесено к компетенции нижестоящих судов и требуемый пересмотр их оценки не попадает под указанные основания.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«Ордена Ленина Научно-исследовательский и конструкторский институт энерготехники имени Н.А. Доллежаля»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"ОРДЕНА ЛЕНИНА НАУЧНО-ИССЛЕДОВАТЕЛЬСКИЙ И КОНСТРУКТОРСКИЙ ИНСТИТУТ ЭНЕРГОТЕХНИКИ ИМЕНИ Н.А. ДОЛЛЕЖАЛЯ" (подробнее) Ответчики: АО "Государственный специализированный проектный институт"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