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«Востсибнефтегаз» (далее – общество) обратилось в суд с заявлением о включении его требований в размере 100 000 рублей в реестр требований кредиторов должника. Определением Арбитражного суда города Москвы от 30.09.2019, оставленным без изменения постановлениями Девятого арбитражного апелляционного суда от 28.11.2019 и Арбитражного суда Московского округа от 26.02.2020,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акты, обособленный спор направить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 и 100 Федерального закона от 26.10.2002 № 127-ФЗ «О несостоятельности (банкротстве)», установив факт ненадлежащего исполнения должником своих обязательств по договору от 15.10.2015 № 3175715/1176Д и причинно-следственную связь между данными действиями (бездействием) должника и убытками на стороне общества, пришли к выводу об обоснованности и подтверждённости требований последнего.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акционерным обществом «Трест «СпецАтомЭнергоМонтаж» Дубовенко Николаю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