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предприятие 08.06.2020 подает кассационную жалобу на судебные акты по делу № А40-302371/2018 с ходатайством о восстановлении срока на обжалование. Срок на подачу кассационной жалобы предприятие считает пропущенным из-за неуведомления его о принятии постановления т 09.12.2019 ни в электронной, ни в иной формах.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 и с этого момента доступно для ознакомления и подготовки жалобы. На предприятие как участника арбитражного процесса возложена обязанность получения информации о движении дела и последствия 2 несовершения действий по ее исполнению (часть 6 статьи 121 Арбитражного процессуального кодекса Российской Федерации). Постановление от 09.12.2019 вынесено по результатам рассмотрения кассационной жалобы предприятия. Текст постановления согласно картотеке арбитражных дел сайта http://kad.arbitr.ru размещен в сети Интернет 10.12.2019 и с этой даты был доступен для ознакомления и при необходимости – подготовки кассационной жалобы. В такой ситуации ожидание уведомления о принятом постановлении за пределами срока на его кассационное обжалование не относится к объективному препятствию для подачи жалобы в срок и в связи с ним срок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унитарному страховому предприятию «БелВЭБ Страхование» в восстановлении срока подачи кассационной жалобы на решение Арбитражного суда города Москвы от 31.05.2019 по делу № А40-302371/2018, постановление Девятого арбитражного апелляционного суда от 19.08.2019 и постановление Арбитражного суда Московского округа от 09.12.2019 по тому же делу. Возвратить унитарному страховому предприятию «БелВЭБ Страхование» кассационную жалобу. Возвратить унитарному страховому предприятию «БелВЭБ Страхование» из федерального бюджета 3 000 (три тысячи) рублей государственной пошлины, уплаченной за подачу кассационной жалобы платежным поручением от 24.02.2020 № 64.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