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05.06.2020 направил в Верховный Суд Российской Федерации кассационную жалобу на указанные судебные акты и одновременно заявил ходатайство о восстановлении пропущенного срока ее подачи.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2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Оценив приведенные заявителем причины пропуска процессуального срока, суд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на основании части 2 статьи 291.2 Арбитражного процессуального кодекса Российской Федерации. Руководствуясь статьями 117, 184,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Управления Федеральной службы государственной регистрации, кадастра и картографии по Московской области о восстановлении пропущенного срока удовлетворить, пропущенный срок на подачу кассационной жалобы восстановить.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