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Арбитражным судом города Москвы рассмотрен переданный по подсудности спор по иску общества с ограниченной ответственностью «Плитка на века» к обществу с ограниченной ответственностью «Экономстрой» о взыскании 1 753 334 рублей 72 копеек задолженности за поставленный товар и 1 616 032 рублей процентов за пользование чужими денежными средствами (с учетом уточнения требований в порядке статьи 49 Арбитражного процессуального кодекса Российской Федерации). Решением Арбитражного суда города Москвы от 15.08.2019 иск удовлетворен в части взыскания 373 392 рублей основного долга и 42 704 рублей 79 копеек процентов за пользование чужими денежными средствами, в удовлетворении иска в остальной части отказано. Постановлением Девятого арбитражного апелляционного суда от 28.10.2019 решение суда первой инстанции оставлено без изменения. 2 Арбитражный суд Московского округа постановлением от 19.02.2020 указанные судебные акты оставил без изменения. Общество с ограниченной ответственностью «Плитка на века»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обстоятельства поставки и принятия товара, признав доказанным в части факт поставки товара и его частичную оплату, руководствуясь положениями статей 309, 310, 395, 486, 506, 516 Гражданского кодекса Российской Федерации, суды пришли к выводу о наличии оснований для частичного удовлетворения заявленных требований.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«Плитка на века»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