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03.06.2020 с ходатайством о восстановлении срока. Общество указывает, что не могло подать жалобу в установленный срок по объективным причинам.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жалобой, в том числе в связи с отсутствием у него сведений об обжалуемом судебном акте, по ходатайству указанного лица может быть восстановлен судьей,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допускается. 2 Общество подало ходатайство за пределами названного срока, поэтому срок восстановлению не подлежит.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«Грузовое такси «Газелькин» в восстановлении срока подачи кассационной жалобы на решение Арбитражного суда города Санкт-Петербурга и Ленинградской области от 13.01.2019 по делу № А56-123264/2018, постановление Тринадцатого арбитражного апелляционного суда от 08.04.2019 и постановление Арбитражного суда Северо-Западного округа от 31.07.2019 по тому же делу. Возвратить обществу с ограниченной ответственностью «Грузовое такси «Газелькин» кассационную жалобу. Возвратить обществу с ограниченной ответственностью «Грузовое такси «Газелькин» из федерального бюджета 3 000 (три тысячи) рублей государственной пошлины, уплаченной за подачу кассационной жалобы платежным поручением от 29.10.2019 № 9641.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