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«ТМ Инвест» (поставщик) обратилось в Арбитражный суд города Москвы с иском о взыскании с общества с ограниченной ответственностью «Комфортстрой» (покупателя) 3 252 692 рублей 23 копеек основного долга по договору поставки от 02.06.2017 № 1422. Решением Арбитражного суда города Москвы от 28.08.2019 иск удовлетворен. Постановлением Девятого арбитражного апелляционного суда от 31.10.2019 решение суда первой инстанции оставлено без изменения. Арбитражный суд Московского округа постановлением от 20.02.2020 указанные судебные акты оставил без изменения. Общество с ограниченной ответственностью «Комфортстрой» обратилось в Судебную коллегию по экономическим спорам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отсутствие доказательств выбытия из владения ответчика печати, оттиск которой содержался на спорных универсальных передаточных документах, а также отсутствие доказательств, свидетельствующих о том, что подписавшее универсальные передаточные документы лицо не имело права на получение товара, руководствуясь положениями статей 309, 310, 486, 506, 516 Гражданского кодекса Российской Федерации, суды сделали вывод о доказанности факта поставки истцом ответчику товара и наличии задолженности ответчика по его оплате, что явилось основанием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«Комфортстрой»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