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«УралМ» (далее – общество) обратилось в суд с заявлением о включении в реестр требований кредиторов должника требования в сумме 8 145 200 рублей. Определением Арбитражного суда Челябинской области от 03.10.2018, оставленным без изменения постановлением Восемнадцатого арбитражного апелляционного суда от 20.11.2018, требование общества признано обоснованным и подлежащим включению в третью очередь реестра требований кредиторов должника. Постановлением Арбитражного суда Уральского округа от 21.02.2019 отменены определение суда первой инстанции от 03.10.2018 и постановление апелляционного суда от 20.11.2018, обособленный спор направлен на новое рассмотрение в суд первой инстанции. При новом рассмотрении определением Арбитражного суда Челябинской области от 30.09.2019, оставленным без изменения постановлениями Восемнадцатого арбитражного апелляционного суда от 18.12.2019 и Арбитражного суда Уральского округа от 28.02.2020, требование общества признано обоснованным и подлежащим включению в третью очередь реестра требований кредиторов должника. В кассационной жалобе, поданной в Верховный Суд Российской Федерации, заявитель просит отменить указанные судебные акты, принять 2 новый судебный акт о частичном отказе в удовлетворении требований общества.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71 и 100 Федерального закона от 26.10.2002 № 127-ФЗ «О несостоятельности (банкротстве)», установив реальность отношений, послуживших основанием для обращения общества с заявленными требованиями, пришли к выводу об их обоснованности, указав на отсутствие доказательств погашения задолженности.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«ЭнергоМетИнвест» Баубекову Радию Сансысбаевичу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