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Куликова А.В. обратилась в суд с заявлением о включении в третью очередь реестра требовании кредиторов должника её требования об уплате суммы переплаты по договорам участия в долевом строительстве в размере 97 598, 48 долларов США в рублях по курсу, установленному Банком России на дату фактической оплаты. Определением Арбитражного суда Свердловской области от 07.10.2019, оставленным без изменения постановлениями Семнадцатого арбитражного апелляционного суда от 09.12.2019 и Арбитражного суда Уральского округа от 26.02.2020,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195, 196, 199, 200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пунктами 1,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исходили из пропуска заявителем срока исковой давности по предъявленному требованию, недоказанности факта переплаты в заявленном размере.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Куликовой Алёне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