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15.06.2020 направил в Верховный Суд Российской Федерации кассационную жалобу и одновременно заявил ходатайство о восстановлении пропущенного срока. В обоснование ходатайства указал на то, что в связи с введенными ограничительными мерами и режимом самоизоляции осуществление взаимодействия между структурными подразделениями общества в целях надлежащего оформления кассационной жалобы было затруднено.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2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«Охранное предприятие «СИнС-Профи»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