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«Кир Ай Си» обратилось в Арбитражный суд города Москвы с иском о взыскании с публичного акционерного общества «Московский Кредитный Банк» 29 066 447 рублей 40 копеек убытков в связи с односторонним списанием денежных средств с банковского счета. Решением Арбитражного суда города Москвы от 08.11.2019 иск удовлетворен. Постановлением Девятого арбитражного апелляционного суда от 13.02.2020 решение суда первой инстанции оставлено без изменения. Арбитражный суд Московского округа постановлением от 25.05.2020 указанные судебные акты оставил без изменения. Публичное акционерное общество «Московский кредитный банк»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денежные средства поступили на счет истца от продажи валюты (японских иен) по курсу конвертации, установленному ответчиком, и не могут быть квалифицированы как ошибочно зачисленные; спорные денежные операции представляют собой самовольное распоряжение банком средствами истца в отсутствие правовых оснований, руководствуясь положениями статей 15, 393, 421, 432, 433, 845, 847, 854 Гражданского кодекса Российской Федерации, суды сделали вывод об обоснованности иска.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«Московский кредитный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