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кассационной жалобой, одновременно ходатайствуя о восстановлении пропущенного срока её подачи. Рассмотрев ходатайство о восстановлении процессуального срока, суд находит его обоснованным и подлежащим удовлетворению. Руководствуясь статьями 117 , 184 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срок подачи кассационной жалобы на определение Арбитражного суда города Москвы от 01.10.2019, постановление Девятого арбитражного апелляционного суда от 25.11.2019 и постановление Арбитражного суда Московского округа от 20.02.2020 по делу № А40-152883/2017 восстановить. Судья Е.С. Корнелюк Суд: Верховный Суд РФ (подробнее) Истцы: ИФНС России №18 по г. Москве (подробнее) ООО "Базис" (подробнее) ООО коммерческий банк "Конфидэнс Банк" (подробнее) ПАО "Банк "Санкт-Петербург" (подробнее) Иные лица: НП АУ "Орион" (подробнее) Судьи дела: Корнелюк Е.С. (судья) (подробнее) Последние документы по делу: Определение от 19 июня 2020 г. по делу № А40-152883/2017 Определение от 29 апреля 2020 г. по делу № А40-152883/2017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