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Калужской области (далее – уполномоченный орган) обратилась в суд с жалобой на ненадлежащее исполнение конкурсным управляющим должника Тереховым В.И. возложенных на него обязанностей, выразившееся в неувольнении работников должника, а также в необоснованном увеличении текущих обязательств должника в ходе конкурсного производства в период с 01.10.2018 по 31.03.2019 на сумму 5 475 201 рубль 56 копеек. Определением Арбитражного суда Калужской области от 10.10.2019, оставленным без изменения постановлениями Двадцатого арбитражного апелляционного суда от 04.12.2019 и Арбитражного суда Центрального округа от 05.03.2020, признана обоснованной жалоба уполномоченного органа о ненадлежащем исполнении заявителем обязанностей, выразившемся в бездействии по увольнению части работников должника и необоснованном увеличении текущих обязательств должника в ходе конкурсного производства в период с 01.10.2018 по 31.03.2019. 2 В кассационных жалобах, поданных в Верховный Суд Российской Федерации, заявители просят отменить указанные судебные акты; ассоциация настаивает на необходимости направления дела на новое рассмотрение, а конкурсный управляющий – на принятии нового судебного акта и прекращении производства по обособленному спору.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20.3, 60, 129, 134 Федерального закона от 26.10.2002 № 127-ФЗ «О несостоятельности (банкротстве)», пунктом 1 постановления Пленума Высшего Арбитражного Суда Российской Федерации от 17.12.2009 № 91 «О порядке погашения расходов по делу о банкротстве», исходили из несоблюдения Тереховым В.И. требований законодательства о банкротстве, выразившего в необоснованном сохранении в штате должника должностей исполнительного директора и трёх заместителей, фактически осуществляющих его полномочия как конкурсного управляющего при возможности непосредственного участия заявителя в управлении и делегирования части полномочий имеющимся в штате юрисконсульту и сотруднику бухгалтерии, что повлекло за собой нарушение прав и законных интересов должника и кредиторов. Отклоняя возражения о необходимости прекращения производства делу, суды указали на отсутствие тождественности настоящего и ранее рассмотренного обособленных споров ввиду оценки действий арбитражного управляющего в течение двух разных периодов времени, не являющейся мерой ответственности за нарушения требований законодательства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«Региональная саморегулируемая организация арбитражных управляющих» и конкурсному управляющему акционерным обществом «Калужское опытное бюро моторостроения» Терехову Валерию Ивановичу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