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02.08.2019 иск удовлетворен. Постановлением Тринадцатого арбитражного апелляционного суда от 15.10.2019, оставленным без изменения постановлением Арбитражного суда Северо-Западного округа от 28.02.2020, решение отменено, в удовлетворении иска отказано. В кассационной жалобе общество просит о пересмотре судебных актов апелляционного и окружного судов как не соответствующих представленным доказательствам поставки комплектного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 отсутствие доказательств передачи заказа ответчику в полном объеме, завершения поставки и подписания акта выполненных работ, с которыми договор от 24.02.2011 № С-39-22420 связывает осуществление окончательного расчета, поэтому отказал в иске на основании статей 309 , 310 , 469 , 506 , 516 Гражданского кодекса Российской Федерации и обстоятельств исполнения обязательства.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«ЭНЕРГОСИЛА»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"Энергосила" (подробнее) Ответчики: АО "Объединенная судостроительная корпорация"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