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Чистов Игорь Викторович обратился в суд с заявлением о привлечении к субсидиарной ответственности Виноградова Валентина Васильевича и Шифрина Эдуарда Владимировича по обязательствам должника в размере 77 429 212 рублей 87 копеек. Определением Арбитражного суда города Москвы от 27.08.2019, оставленным без изменения постановлениями Девятого арбитражного апелляционного суда от 25.10.2019 и Арбитражного суда Московского округа от 10.02.2020, заявление удовлетворено в части требований к Виноградову В.В.; с указанного лица в пользу должника взысканы денежные средства в размере 77 429 212 рублей 87 копеек, в части требований к Шифрину Э.В.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его привлечения к субсидиарной ответственности по обязательствам должника.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61.11, 61.12,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указали на наличие совокупности условий, необходимых для привлечения заявителя как бывшего руководителя должника к субсидиарной ответственности ввиду неисполнения им без уважительных причин своей обязанности по передаче конкурсному управляющему бухгалтерской и иной документации должника, что привело к невозможности определения активов, формирования конкурсной массы и проведения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Виноградову Валентину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