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30.09.2019 иск удовлетворен. Постановлением Семнадцатого арбитражного апелляционного суда от 09.12.2019, оставленным без изменения постановлением Арбитражного суда Уральского округа от 17.02.2020, решение отменено, производство по делу прекращено на основании пункта 2 части 1 статьи 150 Арбитражного процессуального кодекса Российской Федерации. В кассационной жалобе общество «БВБ-Альянс» просит о пересмотре постановлений апелляционного и окружного судов, ссылаясь на неполучение по независящей от него причине судебной защиты в ранее рассмотренном деле.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Приведенные в жалобе доводы не опровергают установленной тождественности исков, влекущей в силу пункта 2 части 1 статьи 150 Арбитражного процессуального кодекса Российской Федерации примененные апелляционным судом последствия.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«БВБ-Альянс»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"БВБ-Альянс" (подробнее) Ответчики: ООО РМНТК-ТЕРМИЧЕСКИЕ СИСТЕМЫ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