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17.06.2019 иск удовлетворен. Девятый арбитражный апелляционный суд постановлением от 24.09.2019 отменил решение от 17.06.2019 и отказал в удовлетворении иска. Арбитражный суд Московского округа постановлением от 25.02.2020 постановление Девятого арбитражного апелляционного суда от 24.09.2019 оставил без изменения. В кассационной жалобе общество «Страховая компания «Арсеналъ» просит об отмене постановлений апелляционного и окружного судов вследствие неправильного применения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страховая выплата произведена обществом «Страховая компания «Арсеналъ» в связи со страховым случаем, попадающим под действие контракта от 12.09.2016 № 31/29ГК,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полиции», поэтому правомерно отказал в переложении ее на ответчика.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