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09.08.2019 в удовлетворении иска отказано. Постановлением Пятнадцатого арбитражного апелляционного суда от 09.11.2019, оставленным без изменения постановлением Арбитражного суда Северо-Кавказского округа от 19.02.2020, решение в части отказа во взыскании убытков с предпринимателя отменено, с предпринимателя взыскано 23 124 евро убытков в рублях по курсу Центрального банка Российской Федерации на день перечисления денежных средств; в иске к обществу «АникАвто» отказано. В кассационной жалобе предприниматель просит об отмене судебных актов апелляционного и окружного судов, ссылаясь на невыполнение функций перевозчика.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По результату оценки представленных в дело доказательств с учетом ранее установленных в другом арбитражном деле обстоятельств суды признали предпринимателя ответственным за повреждение груза в соответствии со статьями 801 , 803 , 805 Гражданского кодекса Российской Федерации и статьей 7 Федерального закона от 30.06.2003 № 87-ФЗ «О транспортно-экспедиционной деятельности». Довод предпринимателя о том, что им не осуществлялась перевозка, не освобождает его от ответственности за убытки перед истцом, который согласовал перевозку с предпринимателем и оплатил ее последнему.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"ПРАЙМ КЛИМАТ" (подробнее) Ответчики: ООО "АникАвто"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