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Крючков Кирилл Владимирович обратился в суд с заявлением о признании недействительным и отмене решения собрания кредиторов от 24.06.2019 по второму вопросу повестки дня. Определением Арбитражного суда города Москвы от 17.01.2020 в удовлетворении заявления отказано. Постановлением Девятого арбитражного апелляционного суда от 29.02.2020, вышеуказанное определение отменено. Признано недействительным названное решение собрания кредиторов по второму вопросу в части взыскания задолженности Крючкова К.В. в рамках дела о банкротстве. В кассационной жалобе, поданной в Верховный Суд Российской Федерации, заявитель просит отменить постановление апелляционного суда,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признавая недействительным оспариваемое решение недействительным в части, апелляционный суд, руководствуясь положениями статей 15, 61.17 Федерального закона от 26.10.2002 № 127-ФЗ «О несостоятельности (банкротстве)» исходил из принятия оспариваемого решения собранием кредиторов с превышением своих полномочий, а также с нарушением процедуры, что привело к нарушению прав и законных интересов учредителя должника. Выводы апелляционного суда соответствуют нормам права, основания для переоценки данных выводов по доводам жалобы отсутствуют.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«Энерготех-Менеджмент» Лаптеву Алексею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