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04.07.2019, оставленным без изменения постановлением Девятого арбитражного апелляционного суда от 07.10.2019, в удовлетворении иска отказано. Арбитражный суд Московского округа постановлением от 25.02.2020 решение от 04.07.2019 и постановление Девятого арбитражного апелляционного суда от 07.10.2019 оставил без изменения. В кассационной жалобе общество «Страховая компания «Арсеналъ» просит об отмене судебных актов вследствие неправильного применения норм материального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страховая выплата произведена обществом «Страховая компания «Арсеналъ» в связи со страховым случаем, попадающим под действие контракта от 12.09.2016 № 31/29ГК, и в соответствии с применимой к правоотношениям редакцией Федерального закона от 28.03.1998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уголовно-исполнительной системы и сотрудников федеральных органов налоговой полиции», поэтому правомерно отказали в переложении ее на ответчика.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"Страховая компания "Арсеналъ" (подробнее) Ответчики: ООО Страховая компания "ВТБ 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