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ФИО2 обратился в суд с заявлением о признании должника несостоятельным (банкротом) по упрощенной процедуре отсутствующего должника. Решением Арбитражного суда города Москвы от 21.08.2019, оставленным без изменения постановлениями Девятого арбитражного апелляционного суда от 09.12.2019 и Арбитражного суда Московского округа от 28.02.2020,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227 – 230 Федерального закона от 26.10.2002 № 127-ФЗ «О несостоятельности (банкротстве)», пришли к выводу о доказанности совокупности условий для открытия конкурсного производства по упрощённой процедуре отсутствующего должника, не располагающегося по своему юридическому адресу, не ведущего хозяйственной деятельности, а также не представляющего бухгалтерской и иной документации.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"Стройэнергокомплекс" в лице к/у Комбаровой А.А. (подробнее) Ответчики: ООО "СтройЭнергоКомплекс" (подробнее) Иные лица: НП СРО АУ "Развитие"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