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Арбитражный суд Чеченской Республики с иском о взыскании с акционерного общества «Российский сельскохозяйственный банк» 698 981 рубля 67 копеек неосновательного обогащения и 74 234 рублей 83 копеек процентов за пользование чужими денежными средствами. Решением Арбитражного суда Чеченской Республики от 04.09.2019 иск удовлетворен. Постановлением Шестнадцатого арбитражного апелляционного суда от 12.12.2019 решение суда первой инстанции оставлено без изменения. Арбитражный суд Северо-Кавказского округа постановлением от 19.03.2020 указанные судебные акты отменил и в удовлетворении иска отказал. Индивидуальный предприниматель ФИО1 обратился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судебные акты и отказывая в удовлетворении иска, окружной суд руководствовался положениями статей 421 , 431 , 845 , 851 , 854 , 1102 Гражданского кодекса Российской Федерации и исходил из отсутствия на стороне ответчика неосновательного обогащения. Доводы жалобы выводы суда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Мисерханов Ш.А-Х. (подробнее) Ответчики: АО "Россельхозбанк"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