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09.09.2019 в удовлетворении искового требования отказано. Постановлением Десятого арбитражного апелляционного суда от 19.11.2019 решение суда первой инстанции отменено, заявленное требование удовлетворено. Постановлением Арбитражного суда Московского округа от 02.03.2020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первой инстанции и округа, оставить в силе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в рамках реализации мероприятий подпрограммы «Устойчивое развитие сельских территорий» государственной программы Московской области «Сельское хозяйство Подмосковья» на срок 2014 - 2020 годы, утвержденной постановлением Правительства Московской области от 13.08.2013 № 602/31 (далее - подпрограмма), между министерством и администрацией 14.06.2018 заключено соглашение № 46629000-1-2018-005 о предоставлении субсидий из бюджета Московской области бюджету муниципального образования и соглашение между главным распорядителем средств бюджета Московской области и администрацией муниципального района Московской области о предоставлении субсидии от 25.09.2018 № 17. Во исполнение указанных соглашений администрации перечислена субсидия в размере 20 432 893 рублей 74 копеек. В соответствии с приложением № 2 к соглашениям, планируемый показатель результативности исполнения мероприятия составляет 597 кв.м ввода (приобретения) жилья. Пунктом 15 приложения № 2 подпрограммы предусмотрено, что органы местного самоуправления муниципальных образований ежегодно не позднее 14 января года, следующего за отчетным годом, представляют в министерство отчет о достижении значений показателей результативности использования субсидий муниципальными образованиями. Согласно представленному отчету по состоянию на 31.12.2018 объем ввода (приобретения) жилья составил 245,10 кв. м, что соответствует 41,1%. При этом абзацем 2 пункта 15 приложения № 2 подпрограммы установлено, что в случае, если муниципальным образованием по состоянию на 31 декабря года предоставления субсидии не достигнуты значения показателей результативности предоставления субсидий, и до дня представления отчета о достижении показателей результативности использования субсидии по формам согласно приложению № 2 к положению в году, следующем за годом предоставления субсидии, эти нарушения не устранены, объем средств подлежит возврату из бюджета муниципального образования в бюджет Московской области в срок до 01 июня года, следующего за годом предоставления субсидии, и рассчитывается по приведенной формуле. На основании полученного отчета и в соответствии с указанной формулой министерством рассчитано, что сумма подлежащая возврату составила 1 183 461 рубль 45 копеек. Направленное в адрес администрации требование о возврате субсидии не исполнено, что послужило основанием для обращения министерства в арбитражный суд. Исследовав и оценив представленные в материалы дела доказательства, суд первой инстанции, руководствуясь статьей 78 Бюджетного кодекса Российской Федерации, статьями 309 , 310 Гражданского кодекса Российской Федерации, Положением о предоставлении социальных выплат на строительство (приобретение) жилья гражданам Российской Федерации, проживающим в сельской местности, в том числе молодым семьям и молодым специалистам, являющимся приложением № 3 к подпрограмме, пришел к выводу об отсутствии оснований для удовлетворения требования министерства в связи с предоставлением администрацией документально подтвержденных сведений о том, что в первом полугодии 2019 года, то есть в течение года с момента получения денежных средств, участники программы завершили строительство и оформление своих жилых домов. Доказательств нецелевого использования ответчиком денежных средств истцом не представлено. Отменяя решение суда и удовлетворяя требование министерства, апелляционный суд исходил из невыполнения администрацией обязательств по соглашению, указав, что согласно представленному отчету по состоянию на 31.12.2018 объем ввода (приобретения) жилья составил 245,10 кв. м или 41,1%, в то время как соглашением предусматривался показатель 597 кв. м ввода (приобретения) жилья. Отменяя постановление суда апелляционной инстанции и оставляя в силе решение суда, суд округа отметил, что 13 660 411 рублей 74 копейки из 20 432 893 рублей 74 копеек, выделенных по программе денежных средств, были перечислены администрации 02.10.2018, то есть менее чем за три месяца до срока предоставления отчета за 2018 год. Таким образом, участники программы, обладатели социальных выплат, были заведомо поставлены министерством в положение, при котором выполнить условия программы не представляется возможным. Между тем администрация своевременно перечислила все поступившие денежные средства на счета участников программы, добросовестно исполнив свои обязательства. На момент рассмотрения спора участники программы завершили строительство и оформление жилых домов, что свидетельствует о надлежащем использовании предоставленных субсидий. Доводы министерства, изложенные в кассационной жалобе, получили правовую оценку, с учетом установленных обстоятельств дела не свидетельствуют о допущенной судами первой инстанции и округа судебной ошибке и в силу статьи 291.6 Арбитражного процессуального кодекса Российской Федерации не являются основанием для передачи жалобы на рассмотрение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сельского хозяйства и продовольствия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Министерство сельского хозяйства и продовольствия Московской области (подробнее) Ответчики: Администрация Лотошинского муниципального района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