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«Агротехническое снабжение-2000» (далее – кредитор) обратилось в суд с заявлением о взыскании с арбитражного управляющего Тарасова А.С. убытков в размере 4 111 864 рублей 59 копеек. Определением Арбитражного суда Московской области от 29.04.2019, оставленным без изменения постановлениями Десятого арбитражного апелляционного суда от 14.10.2019 и Арбитражного суда Московского округа от 18.02.2020,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соответствии с правилами главы 7 Арбитражного процессуального кодекса Российской Федерации, руководствуясь статьёй 15 Гражданского кодекса Российской Федерации, статьями 20.3, 20.4, 60 Федерального закона от 26.10.2002 № 127-ФЗ «О несостоятельности (банкротстве)», пунктом 53 постановления Пленума Высшего Арбитражного Суда Российской Федерации № 35 от 22.06.2012 «О некоторых процессуальных вопросах, связанных с рассмотрением дел о банкротстве», исходили из обоснованности заявленных требований, поскольку установленное в судебном порядке бездействие Тарасова А.В. по непринятию мер к погашению текущих требований, на которые была начислена значительная сумма процентов, привело к увеличению дополнительной нагрузки на конкурсную массу и причинило вред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Тарасову Алексею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