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16.08.2019, оставленным без изменения постановлением Семнадцатого арбитражного апелляционного суда от 21.11.2019 и постановлением Арбитражного суда Уральского округа от 26.02.2020, иск удовлетворен. В кассационной жалобе компания просит о пересмотре судебных актов вследствие обязания оплатить услуги, стоимость которых включена в ежемесячную абонентскую плату.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результату исследования обстоятельств спора и представленных доказательств установили неоплату компанией принятых дополнительных услуг, не охватываемых договором от 01.04.2010 № 109КБ/263200 на оказание услуг по техническому обслуживанию и аварийно-диспетчерскому обеспечению внутридомового газового оборудования зданий, поэтому удовлетворили иск в соответствии со статьями 395 , 779 , 781 Гражданского кодекса Российской Федерации. Доводы кассационной жалобы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жилищно-коммунального хозяйства Октябрьского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ЕКАТЕРИНБУРГГАЗ (подробнее) Ответчики: ООО "Управляющая компания жилищно-коммунального хозяйства Октябрьского района"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