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17.09.2019, оставленным без изменения постановлением Девятого арбитражного апелляционного суда от 19.11.2019, в удовлетворении иска отказано. Арбитражный суд Московского округа постановлением от 10.03.2020 решение от 17.09.2019 и постановление Девятого арбитражного апелляционного суда от 19.11.2019 оставил без изменения. В кассационной жалобе общество «ФСК ЕЭС» просит об отмене судебных актов, ссылаясь на соблюдение формальных условий к оформлению требования по банковской гарантии и неправильный вывод о наличии злоупотребления правом.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условие для реализации права на получение платежа по гарантии не наступило в связи с отсутствием неисполнения обеспечиваемого ею обязательства. В указанной ситуации к предъявленному об исполнении банковской гарантии требованию суды компетентны были применить правила статьи 10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«ФСК ЕЭС»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ФСК ЕЭС (подробнее) Ответчики: ПАО Банк "Финансовая Корпорация Открытие" (подробнее) Судьи дела: Ксенофонтова Н.А.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