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дела решением Арбитражного суда города Москвы от 29.07.2019, оставленным без изменения постановлением Девятого арбитражного апелляционного суда от 30.10.2019, в удовлетворении иска отказано. Арбитражный суд Московского округа постановлением от 25.02.2020 решение от 29.07.2019 и постановление Девятого арбитражного апелляционного суда от 30.10.2019 оставил без изменения. В кассационной жалобе фонд просит об отмене судебных актов, ссылаясь на отсутствие оценки его доводов об условиях ответственности больницы.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Отсутствие оценки доводов об условиях ответственности больницы, в частности, о нарушении прав застрахованных лиц на выбор медицинской организации, опровергается содержанием обжалуемых судебных актов, установивших отсутствие нарушения, позволяющего в порядке статьи 41 Федерального закона от 29.11.2010 № 326-ФЗ «Об обязательном медицинском страховании в Российской Федерации» применить к больнице договорные санкции.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Московскому городскому фонду обязательного медицинского страхования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МГФОМС (подробнее) ООО "Росгосстрах-Медицина" (подробнее) Ответчики: ГБУЗ ГП №62 ДЗМ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