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Липецкой области от 10.09.2019 заявление общества «Машснабстрой» о взыскании 485 980 рублей судебных расходов удовлетворено в размере 329 000 рублей. Постановлением Девятнадцатого арбитражного апелляционного суда от 26.11.2019 определение от 10.09.2019 отменено в части отказа во взыскании 8 020 рублей судебных расходов и требование на эту сумму удовлетворено; в остальной части определение оставлено без изменения. Постановлением Арбитражного суда Центрального округ от 25.02.2020 определение от 10.09.2019 и постановление апелляционного суда от 26.11.2019 оставлены без изменения. В кассационной жалобе общество «Машснабстрой» просит об отмене судебных актов в отношении не взысканной части судебных расходов вследствие уменьшения расходов при непредставлении противной стороной доказательств их чрезмерности.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Арбитражного процессуального кодекса Российской Федерации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истцом в связи с рассмотрением дела, во взысканном размере. Доводы жалобы сводятся к иной оценке обстоятельств несения расходов, не создающей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«Машснабстрой»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"Машснабстрой" (подробнее) Ответчики: ООО "Завод Стальнофф"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