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16.07.2019, оставленным без изменения постановлением Девятого арбитражного апелляционного суда от 11.10.2019, в удовлетворении иска отказано. Арбитражный суд Московского округа постановлением от 02.03.2020 решение от 16.07.2019 и постановление Девятого арбитражного апелляционного суда от 11.10.2019 оставил без изменения. В кассационной жалобе общество «Страховая компания «Арсеналъ» просит об отмене судебных актов вследствие неправильного применения норм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страховая выплата произведена обществом «Страховая компания «Арсеналъ» в связи со страховым случаем, попадающим под действие контракта от 12.09.2016 № 31/29ГК, и в соответствии с применимой к правоотношениям редакцией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 и сотрудников федеральных органов налоговой полиции», поэтому правомерно отказали в переложении ее на ответчика.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