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04.07.2019, оставленным без изменения постановлением Девятого арбитражного апелляционного суда от 02.10.2019, исковые требования удовлетворены в заявленном объеме. Арбитражный суд Московского округа постановлением от 19.02.2020 решение от 04.07.2019 и постановление Девятого арбитражного апелляционного суда от 02.10.2019 оставил без изменения. В кассационной жалобе предприятие просит об отмене судебных актов, ссылаясь на отсутствие нарушения обязательства как основания для платежа по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и оценив обстоятельства спора и руководствуясь статьями 374 , 376 , 379 Гражданского кодекса Российской Федерации, установили отсутствие законных и договорных оснований для отказа в возмещении предприятием уплаченной по гарантии суммы.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«Борс-Нева»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"Евразийский банк" (подробнее) Ответчики: ООО ОХРАННОЕ ПРЕДПРИЯТИЕ "БОРС-НЕВА"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