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задолженности в размере 389 917 рублей 21 копейки. Определением Арбитражного суда Республики Бурятия от 29.04.2019, оставленным без изменения постановлениями Четвёртого арбитражного апелляционного суда от 11.12.2019 и Арбитражного суда Восточно-Сибирского округа от 11.03.2020, во включении в реестр требований заявителя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196 , 199 , 200 , 201 , 203 Гражданского кодекса Российской Федерации, пунктом 3 Обзора судебной практики по гражданским делам, связанным с разрешением споров об исполнении кредитных обязательств, утверждённым Президиумом Верховного Суда Российской Федерации от 22.05.2013, пунктом 6 постановления Пленума Верховного Суда российской Федерации от 29.09.2015 № 43 «О некоторых вопросах применения норм Гражданского кодекса Российской Федерации об исковой давности», исходили из пропуска заявителем срока исковой давности по предъявленным требованиям, в связи с чем отказали во включении их в реестр.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НАО "Первое коллекторское бюро" (подробнее) Иные лица: Ассоциация арбитражных управляющих Сибирский центр экспертов антикризисного управления (подробнее) УФНС России по РБ (подробнее) Судьи дела: Корнелюк Е.С.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