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 обратилось в Верховный Суд Российской Федерации с кассационной жалобой на решение Арбитражного суда Новосибирской области от 19.08.2019 по делу № А45-15810/2019, постановление Седьмого первого арбитражного апелляционного суда от 24.10.2019 и постановление Арбитражного суда Западно–Сибирского округа от 20.02.2020, принятые по настоящему делу, одновременно заявив ходатайство о восстановлении пропущенного процессуального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«Про» удовлетворить. Срок подачи кассационной жалобы на решение Арбитражного суда Новосибирской области от 19.08.2019 по делу № А45–15810/2019, постановление Седьмого первого арбитражного апелляционного суда от 24.10.2019 и постановление Арбитражного суда Западно–Сибирского округа от 20.02.2020 по указанному делу восстановить.Судья Верховного Суда Д.В. ТютинРоссийской Федерации Суд: Верховный Суд РФ (подробнее) Истцы: ООО "Про" (подробнее) Ответчики: Инспекция федеральной налоговой службы по центральному району г. Новосибирска (подробнее) Последние документы по делу: Определение от 18 июня 2020 г. по делу № А45-15810/2019 Определение от 29 апреля 2020 г. по делу № А45-15810/2019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