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28.11.2019, оставленным без изменения постановлением Тринадцатого арбитражного апелляционного суда от 28.11.2019 и постановлением Арбитражного суда Северо-Западного округа от 11.03.2020, с общества в пользу компании взыскано 1 441 168 руб. 65 коп. неустойки, в удовлетворении остальной части первоначального иска и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компания (цессионарий), обращаясь в арбитражный суд с иском по настоящему делу, сослалась на то, что на основании договора цессии от 18.09.2017 № 1 (далее – договор цессии) к ней от общества «Энергогарант» (цедент) перешло право требования к обществу денежных средств, в том числе пеней за просрочку оплаты продукции, поставленной по договору поставки нефтепродуктов от 27.01.2015 № 081Э-2015 (далее – договор поставки), заключенному между последним (покупатель) и обществом «Энергогарант» (поставщик). Полагая, что договор цессии является притворной сделкой, которая совершена с целью прикрыть сделку дарения, общество предъявило встречный иск. Суды первой и апелляционной инстанций, оценив по правилам статьи 71 Арбитражного процессуально кодекса Российской Федерации представленные в материалы дела доказательства, руководствуясь статьями 166 , 168 , 170 , 309 , 310 , 329 , 330 , 382 , 384 , 388 , 423 , 486 , 506 Гражданского кодекса Российской Федерации, пришли к выводу о правомерности начисления неустойки за ненадлежащее исполнение обществом обязательств по договору поставки и, признав обоснованными доводы последнего о пропуске срока исковой давности в части периода и несоразмерности неустойки, учитывая отсутствие доказательств, свидетельствующих о намерении сторон сделки прикрыть договор дарения путем заключения договора цессии, частично удовлетворили первоначальный иск и отказали в удовлетворении встречного иска.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«СТС-Групп»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"ТК "ЭНЕРГОГАРАНТ" (подробнее) Ответчики: ООО "СТС-Групп" (подробнее) Иные лица: ГУСЕВ ИГОРЬБ АНАТОЛЬЕВИЧ (подробнее) ГУ Управление по вопросам миграции МВД РФ по СПб И ЛО (подробнее) Межрайонная инспекция федеральной налоговой службы №15 по Санкт-Петербургу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