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заявлением о пересмотре по новым обстоятельствам определения Арбитражного суда Ростовской области от 11.07.2018 о замене кредитора – общества с ограниченной ответственностью «Алекс Трейд» (далее – общество) в реестре требований кредиторов должника, об исключении указанных требований из реестра. Индивидуальный предприниматель Рубинин Владимир Сергеевич обратился в суд с заявлением о процессуальном правопреемстве общества на него. Определением Арбитражного суда Ростовской области от 08.10.2019, оставленным без изменения постановлениями Пятнадцатого арбитражного апелляционного суда от 16.12.2019 и Арбитражного суда Северо-Кавказского округа от 26.02.2020, в пересмотре судебного акта по новым обстоятельствам и исключении требований из реестра отказано; произведена замена конкурсного кредитора – общества на предпринимателя в третьей очереди реестра в размере 3 143 749 рублей 83 копеек. 2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дополнениями таких оснований не установлено. Разрешая спор, суды, руководствуясь статьёй 311 Арбитражного процессуального кодекса Российской Федерации, статьями 382, 384, 388, 421 Гражданского кодекса Российской Федерации, пунктом 6 статьи 16 Федерального закона от 26.10.2002 № 127-ФЗ «О несостоятельности (банкротстве)», пунктом 3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исходили из того, что приводимое конкурсным управляющим обстоятельство аффилированности общества и должника не обладало признаками нового, являлось предметом рассмотрения и ему дана соответствующая правовая оценка, в связи с чем данное обстоятельство не могло служить основанием для пересмотра судебного акта. Ввиду установленных судами фактических обстоятельств уступки банком обществу реального и не являющегося корпоративным права требования к должнику, отсутствием признаков злоупотребления правом при заключении и исполнении не оспоренного договора цессии, суды признали подтвержденным факт правопреемства в материальном правоотношении, отказав в удовлетворении требований конкурсного управляющего должником и произведя замену кредитора на его правопреемника.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«Фирма «Актис» Ботвиньеву Алексею Вячеславовичу и обществу с ограниченной ответственностью «РНГО»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