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оительная Компания «Строй Групп» (далее – Компания) обратилось в Арбитражный суд города Москвы с иском к акционерному обществу «Главное управление обустройства войск» (далее – Общество) об обязании произвести окончательный расчет по договору от 15.08.2014 № 2014/2-352, взыскании 4 954 950 рублей задолженности и 591 286 рублей процентов за пользование чужими денежными средствами за период с 23.02.2017 по день фактической уплаты долга. В свою очередь Общество заявило встречные требования о взыскании с Компании 6 724 575 рублей неустойки и 2 458 799 рублей 18 копеек процентов за пользование авансом как коммерческим кредитом. Решением Арбитражного суда города Москвы от 28.07.2017, оставленным без изменения постановлением Девятого арбитражного апелляционного суда от 10.10.2017, в удовлетворении первоначального иска Компании отказано, встречные требования Общества оставлены без рассмотрения. Постановлением Арбитражного суда Московского округа от 12.02.2018 решение от 28.07.2017 и постановление от 10.10.2017 отменены, дело передано на новое рассмотрение в Арбитражный суд города Москвы. При новом рассмотрении дела, решением Арбитражного суда города Москвы от 02.07.2019, оставленным без изменения постановлением Девятого арбитражного апелляционного суда от 01.10.2019 и постановлением Арбитражного суда Московского округа от 05.0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заявив ходатайство, поступившее 08.05.2020,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Компанией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Строительной Компании «Строй Групп». Срок подачи кассационной жалобы на решение Арбитражного суда города Москвы от 02.07.2019, постановление Девятого арбитражного апелляционного суда от 01.10.2019 и постановление Арбитражного суда Московского округа от 05.02.2020 восстановить. Судья Верховного Суда Российской Федерации Н.С. Чучунова Суд: Верховный Суд РФ (подробнее) Истцы: Ответчики: АО "Главное управление обустройства войск" (подробнее) ООО Строительная Компания "Строй Групп" (подробнее) Судьи дела: Чучунова Н.С. (судья) (подробнее) Последние документы по делу: Определение от 18 июня 2020 г. по делу № А40-36293/2017 Определение от 25 мая 2020 г. по делу № А40-3629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