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Чувашской Республики – Чувашии от 07.03.2019, оставленным без изменения постановлением Первого арбитражного апелляционного суда от 09.09.2019, требование о расторжении договора купли-продажи от 01.08.2017 оставлено без рассмотрения, взыскано 120 478 рублей стоимости оборудования. Арбитражный суд Волго-Вятского округа постановлением от 24.01.2020 решение от 07.03.2019 и постановление Первого арбитражного апелляционного суда от 09.09.2019 оставил без изменения. В кассационной жалобе ФИО1 просит об отмене судебных актов вследствие неправильного применения последствий передачи некачественного товара.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Условий для применения последствий, предусмотренных пунктом 2 статьи 475 Гражданского кодекса Российской Федерации, суды не установили, учитывая осведомленность покупателя о состоянии приобретаемого имущества, носящем согласно заключению эксперта явный характер.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гражданину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Ответчики: ПАО МЕЖДУГОРОДНОЙ И МЕЖДУНАРОДНОЙ ЭЛЕКТРИЧЕСКОЙ СВЯЗИ "РОСТЕЛЕКОМ" (подробнее) ПАО междугородной и международной электрической связи "Ростелеком" Макрорегиональный филиал "Волга" (подробнее) Иные лица: АНО "Негосударственный экспертный центр" (подробнее) АНО "Центр Технических Экспертиз" (подробнее) Инспекция Федеральной налоговой службы по г. Чебоксары (подробнее) НП "Федерация судебных экспертов" (подробнее) ООО "Дзержинская оценочная палата" (подробнее) ООО Приволжский центр судебных экспертиз (подробнее) ООО "Рензин Компания" (подробнее) ПАО Региональный операционный офис "Чебоксарский" Банка ВТБ24 (подробнее) Союз "Торгово-промышленная палата Чувашской Республики"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