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06.05.2019, оставленным без изменения постановлением Семнадцатого арбитражного апелляционного суда от 16.09.2019, первоначальный иск удовлетворен, встречный иск удовлетворен частично. В результате зачета взысканных сумм с общества в пользу завода взыскано 28 574 рубля 45 копеек неустойки. Постановлением Арбитражного суда Уральского округа от 30.01.2020 решение и постановление апелляционного суда отменены в части удовлетворения иска завода о взыскании неустойки и в этой части дело направлено на новое рассмотрение в Арбитражный суд Свердловской области; в остальной части судебные акты оставлены без изменения. В кассационной жалобе общество «СМК-ЭНЕРГО» просит о пересмотре судебных актов в части отказа во взыскании неустойки по встречному иску как принятых по неполно исследованным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по встречному иску соответствуют статьям 309 , 310 , 330 Гражданского кодекса Российской Федерации и установленным обстоятельствам исполнения договора поставки от 12.03.2018 № ЗЭР 19-04_2018. Переоценка обстоятельств частичного отказа во взыскании неустойки не составляет оснований для изменения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«СМК-ЭНЕРГО»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ЗАВОД ЭНЕРГОРЕАКТОР (подробнее) Ответчики: ООО СМК-ЭНЕРГО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