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24.05.2019 иск удовлетворен. Девятый арбитражный апелляционный суд постановлением от 03.09.2019 отменил решение от 24.05.2019 и отказал в удовлетворении иска. Арбитражный суд Московского округа постановлением от 30.01.2020, постановление Девятого арбитражного апелляционного суда от 03.09.2020 оставил без изменения. В кассационной жалобе общество «Страховая компания «Арсеналъ» просит об отмене судебных актов апелляционного и окружного судов вследствие неправильного применения норм материального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страховая выплата произведена обществом «Страховая компания «Арсеналъ» в связи со страховым случаем, попадающим под действие контракта от 12.09.2016 № 31/29ГК, и в соответствии с применимой к правоотношениям редакцией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 и сотрудников федеральных органов налоговой полиции», поэтому правомерно отказал в переложении ее на ответчика.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