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конкурсные кредиторы обратились в суд с заявлением об истребовании из незаконного владения открытого акционерного общества «МеталлИнвест» имущества должника согласно указанному ими перечню. Определением Арбитражного суда города Санкт-Петербурга и Ленинградской области от 20.05.2019, оставленным без изменения постановлениями Тринадцатого арбитражного апелляционного суда от 17.10.2019 и Арбитражного суда Северо-Западного округа от 18.02.2020, в удовлетворении заявления отказано. В кассационной жалобе, поданной в Верховный Суд Российской Федерации, заявители просят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195, 199, 303 Гражданского Кодекса Российской Федерации, пунктом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исходили из пропуска срока исковой давности заявителями, осведомлёнными надлежащим образом о нарушении своих прав и не представившими убедительных доводов в обоснование невозможности осуществления соответствующих процессуальных действий в установленный законом срок, что явилось самостоятельным и достаточным основанием для отказа в удовлетворении требований.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Валерию Вомикоевичу, Нагорному Александру Викторовичу и Нагорной Валентине Сергеевну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