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27.08.2019 в удовлетворении иска отказано. Девятый арбитражный апелляционный суд постановлением от 25.11.2019 отменил решение от 27.08.2019 и удовлетворил иск в заявленном размере. Арбитражный суд Московского округа постановлением от 03.03.2020 постановление Девятого арбитражного апелляционного суда от 25.11.2019 оставил без изменения. В кассационной жалобе банк просит об отмене судебных актов апелляционного и окружного судов, ссылаясь на ненадлежащее удостоверение полномочий подписавшего требование о платеже лица и злоупотребление со стороны истца.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усматривается.Суды установили, что требование о платеже по банковской гарантии от 30.08.2016 № БГ-67241/2016 предъявлено в пределах срока действия гарантии и с приложением определенных в гарантии документов, в связи с чем в силу статей 375 и 376 Гражданского кодекса Российской Федерации у банка отсутствовали законные основания для отказа в платеже. Наличие в отношении основного обязательства решения суда не препятствует реализации прав по гарантии.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«Держава»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ФЕДЕРАЛЬНОЕ ГОСУДАРСТВЕННОЕ БЮДЖЕТНОЕ ОБРАЗОВАТЕЛЬНОЕ УЧРЕЖДЕНИЕ ВЫСШЕГО ОБРАЗОВАНИЯ "САРАТОВСКИЙ НАЦИОНАЛЬНЫЙ ИССЛЕДОВАТЕЛЬСКИЙ ГОСУДАРСТВЕННЫЙ УНИВЕРСИТЕТ ИМЕНИ Н.Г. ЧЕРНЫШЕВСКОГО" (подробнее) Ответчики: ПАО АКБ "Держава"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