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Четвертого арбитражного апелляционного суда от 09.04.2019 в иске отказано. Определением Четвертого арбитражного апелляционного суда от 20.01.2020, оставленным без изменения постановлением Арбитражного суда Восточно-Сибирского округа от 26.02.2020, заявление ФИО1 о пересмотре по вновь открывшимся обстоятельствам постановления от 09.04.2019 возвращено. В кассационной жалобе ФИО1 просит о пересмотре судебных актов об отказе в пересмотре судебного акта, ссылаясь на существенность представленных им документов для судебного акта по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Своевременно не представленные в обоснование доводов и возражений доказательства не обладают признаком объективно существовавших, но не известных заявителю и суду обстоятельств, в связи с выявлением которых судебный акт может быть пересмотрен в силу части 2 статьи 311 Арбитражного процессуального кодекса Российской Федерации,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№14 по Иркутской области (подробнее) ООО Торговый дом "МН" (подробнее) Ответчики: ООО "ББК Девелопмент" (подробнее) ООО "Стройпроект"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